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95"/>
        <w:gridCol w:w="7918"/>
      </w:tblGrid>
      <w:tr w:rsidR="00C71209" w:rsidTr="00C71209">
        <w:trPr>
          <w:trHeight w:val="1418"/>
        </w:trPr>
        <w:tc>
          <w:tcPr>
            <w:tcW w:w="924" w:type="pct"/>
            <w:hideMark/>
          </w:tcPr>
          <w:p w:rsidR="00C71209" w:rsidRDefault="00C712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91540" cy="891540"/>
                  <wp:effectExtent l="19050" t="0" r="3810" b="0"/>
                  <wp:docPr id="1" name="Obrázok 2" descr="CL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L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pct"/>
          </w:tcPr>
          <w:p w:rsidR="00C71209" w:rsidRDefault="00C71209">
            <w:pPr>
              <w:spacing w:line="264" w:lineRule="auto"/>
              <w:jc w:val="center"/>
              <w:rPr>
                <w:rFonts w:ascii="Cambria" w:eastAsia="Calibri" w:hAnsi="Cambria"/>
                <w:b/>
                <w:caps/>
                <w:spacing w:val="-6"/>
                <w:sz w:val="4"/>
                <w:szCs w:val="4"/>
                <w:lang w:eastAsia="en-US"/>
              </w:rPr>
            </w:pPr>
          </w:p>
          <w:p w:rsidR="00C71209" w:rsidRDefault="00C71209">
            <w:pPr>
              <w:spacing w:line="264" w:lineRule="auto"/>
              <w:jc w:val="center"/>
              <w:rPr>
                <w:rFonts w:ascii="Cambria" w:hAnsi="Cambria"/>
                <w:b/>
                <w:caps/>
                <w:spacing w:val="-6"/>
                <w:lang w:eastAsia="ja-JP"/>
              </w:rPr>
            </w:pPr>
          </w:p>
          <w:p w:rsidR="00C71209" w:rsidRDefault="00C71209">
            <w:pPr>
              <w:spacing w:line="264" w:lineRule="auto"/>
              <w:jc w:val="center"/>
              <w:rPr>
                <w:rFonts w:ascii="Cambria" w:hAnsi="Cambria"/>
                <w:b/>
                <w:caps/>
                <w:spacing w:val="-6"/>
              </w:rPr>
            </w:pPr>
            <w:r>
              <w:rPr>
                <w:rFonts w:ascii="Cambria" w:hAnsi="Cambria"/>
                <w:b/>
                <w:caps/>
                <w:spacing w:val="-6"/>
              </w:rPr>
              <w:t xml:space="preserve">kúpeľno-liečebný ústav </w:t>
            </w:r>
          </w:p>
          <w:p w:rsidR="00C71209" w:rsidRDefault="00C71209">
            <w:pPr>
              <w:spacing w:line="264" w:lineRule="auto"/>
              <w:jc w:val="center"/>
              <w:rPr>
                <w:rFonts w:ascii="Cambria" w:hAnsi="Cambria"/>
                <w:b/>
                <w:caps/>
                <w:spacing w:val="-6"/>
              </w:rPr>
            </w:pPr>
            <w:r>
              <w:rPr>
                <w:rFonts w:ascii="Cambria" w:hAnsi="Cambria"/>
                <w:b/>
                <w:caps/>
                <w:spacing w:val="-6"/>
              </w:rPr>
              <w:t>Ministerstva vnútra Slovenskej republiky DRUŽBA</w:t>
            </w:r>
          </w:p>
          <w:p w:rsidR="00C71209" w:rsidRDefault="00C71209">
            <w:pPr>
              <w:spacing w:line="264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086 31  Bardejovské Kúpele</w:t>
            </w:r>
          </w:p>
          <w:p w:rsidR="00C71209" w:rsidRDefault="00C71209">
            <w:pPr>
              <w:spacing w:line="264" w:lineRule="auto"/>
              <w:jc w:val="center"/>
              <w:rPr>
                <w:lang w:eastAsia="en-US"/>
              </w:rPr>
            </w:pPr>
          </w:p>
        </w:tc>
      </w:tr>
      <w:tr w:rsidR="00C71209" w:rsidTr="00C71209"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09" w:rsidRDefault="00C71209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  <w:tc>
          <w:tcPr>
            <w:tcW w:w="40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09" w:rsidRDefault="00C71209">
            <w:pPr>
              <w:spacing w:line="276" w:lineRule="auto"/>
              <w:jc w:val="center"/>
              <w:rPr>
                <w:rFonts w:eastAsia="Calibri"/>
                <w:sz w:val="4"/>
                <w:szCs w:val="4"/>
                <w:lang w:eastAsia="en-US"/>
              </w:rPr>
            </w:pPr>
          </w:p>
          <w:p w:rsidR="00C71209" w:rsidRDefault="00C71209">
            <w:pPr>
              <w:spacing w:line="276" w:lineRule="auto"/>
              <w:jc w:val="center"/>
              <w:rPr>
                <w:sz w:val="4"/>
                <w:szCs w:val="4"/>
                <w:lang w:eastAsia="en-US"/>
              </w:rPr>
            </w:pPr>
          </w:p>
        </w:tc>
      </w:tr>
    </w:tbl>
    <w:p w:rsidR="00C71209" w:rsidRDefault="00C71209" w:rsidP="00C71209">
      <w:pPr>
        <w:rPr>
          <w:b/>
        </w:rPr>
      </w:pPr>
    </w:p>
    <w:p w:rsidR="00C71209" w:rsidRDefault="00C71209" w:rsidP="00C71209">
      <w:pPr>
        <w:ind w:left="360"/>
        <w:jc w:val="center"/>
        <w:rPr>
          <w:b/>
        </w:rPr>
      </w:pPr>
      <w:r>
        <w:rPr>
          <w:b/>
        </w:rPr>
        <w:t xml:space="preserve">Výška doplatku poistencom zdravotných poisťovní za stravovanie a pobyt na lôžku počas poskytovania ústavnej starostlivosti v rámci indikačnej skupiny „A“ </w:t>
      </w:r>
    </w:p>
    <w:p w:rsidR="00C71209" w:rsidRDefault="00C71209" w:rsidP="00C71209">
      <w:pPr>
        <w:ind w:left="360"/>
        <w:jc w:val="center"/>
        <w:rPr>
          <w:b/>
        </w:rPr>
      </w:pPr>
      <w:r>
        <w:rPr>
          <w:b/>
        </w:rPr>
        <w:t>v KLÚ MV SR Družba Bardejovské Kúpele na rok 2025 činí:</w:t>
      </w:r>
    </w:p>
    <w:p w:rsidR="00C71209" w:rsidRDefault="00C71209" w:rsidP="00C71209">
      <w:pPr>
        <w:jc w:val="both"/>
        <w:rPr>
          <w:b/>
        </w:rPr>
      </w:pPr>
    </w:p>
    <w:p w:rsidR="00C71209" w:rsidRPr="00A93931" w:rsidRDefault="00C71209" w:rsidP="00C71209">
      <w:pPr>
        <w:jc w:val="both"/>
        <w:rPr>
          <w:sz w:val="22"/>
          <w:szCs w:val="22"/>
        </w:rPr>
      </w:pPr>
      <w:r>
        <w:rPr>
          <w:b/>
        </w:rPr>
        <w:t xml:space="preserve">- </w:t>
      </w:r>
      <w:r w:rsidRPr="00A93931">
        <w:rPr>
          <w:b/>
          <w:sz w:val="22"/>
          <w:szCs w:val="22"/>
        </w:rPr>
        <w:t>9</w:t>
      </w:r>
      <w:r w:rsidRPr="00A93931">
        <w:rPr>
          <w:sz w:val="22"/>
          <w:szCs w:val="22"/>
        </w:rPr>
        <w:t>,</w:t>
      </w:r>
      <w:r w:rsidRPr="00A93931">
        <w:rPr>
          <w:b/>
          <w:sz w:val="22"/>
          <w:szCs w:val="22"/>
        </w:rPr>
        <w:t xml:space="preserve">– € </w:t>
      </w:r>
      <w:r w:rsidRPr="00A93931">
        <w:rPr>
          <w:sz w:val="22"/>
          <w:szCs w:val="22"/>
        </w:rPr>
        <w:t xml:space="preserve">za každý deň ústavnej starostlivosti </w:t>
      </w:r>
      <w:r w:rsidRPr="00A93931">
        <w:rPr>
          <w:b/>
          <w:sz w:val="22"/>
          <w:szCs w:val="22"/>
        </w:rPr>
        <w:t>v I. a IV. štvrťroku</w:t>
      </w:r>
      <w:r w:rsidRPr="00A93931">
        <w:rPr>
          <w:sz w:val="22"/>
          <w:szCs w:val="22"/>
        </w:rPr>
        <w:t xml:space="preserve"> bez ohľadu na dĺžku ústavnej starostlivosti.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b/>
          <w:sz w:val="22"/>
          <w:szCs w:val="22"/>
        </w:rPr>
        <w:t xml:space="preserve">- 12,– € </w:t>
      </w:r>
      <w:r w:rsidRPr="00A93931">
        <w:rPr>
          <w:sz w:val="22"/>
          <w:szCs w:val="22"/>
        </w:rPr>
        <w:t xml:space="preserve">za každý deň ústavnej </w:t>
      </w:r>
      <w:r w:rsidRPr="00A93931">
        <w:rPr>
          <w:b/>
          <w:sz w:val="22"/>
          <w:szCs w:val="22"/>
        </w:rPr>
        <w:t xml:space="preserve">v II. a III. štvrťroku </w:t>
      </w:r>
      <w:r w:rsidRPr="00A93931">
        <w:rPr>
          <w:sz w:val="22"/>
          <w:szCs w:val="22"/>
        </w:rPr>
        <w:t>bez ohľadu na dĺžku ústavnej starostlivosti.</w:t>
      </w:r>
    </w:p>
    <w:p w:rsidR="00C71209" w:rsidRPr="00A93931" w:rsidRDefault="00C71209" w:rsidP="00C71209">
      <w:pPr>
        <w:ind w:firstLine="360"/>
        <w:jc w:val="both"/>
        <w:rPr>
          <w:sz w:val="22"/>
          <w:szCs w:val="22"/>
        </w:rPr>
      </w:pPr>
    </w:p>
    <w:p w:rsidR="00C71209" w:rsidRPr="00EC3FFF" w:rsidRDefault="00C71209" w:rsidP="00EC3FFF">
      <w:pPr>
        <w:ind w:firstLine="360"/>
        <w:jc w:val="both"/>
        <w:rPr>
          <w:b/>
          <w:sz w:val="22"/>
          <w:szCs w:val="22"/>
        </w:rPr>
      </w:pPr>
      <w:r w:rsidRPr="00A93931">
        <w:rPr>
          <w:b/>
          <w:sz w:val="22"/>
          <w:szCs w:val="22"/>
        </w:rPr>
        <w:t>Výška úhrady za poskytovanú ústavnú zdravotnú starostlivosť v prírodných liečebných kúpeľoch v indikačnej skupine „A“ činí:</w:t>
      </w:r>
      <w:r w:rsidRPr="00A93931">
        <w:rPr>
          <w:sz w:val="22"/>
          <w:szCs w:val="22"/>
        </w:rPr>
        <w:t xml:space="preserve"> 1,70 € / deň.</w:t>
      </w:r>
    </w:p>
    <w:p w:rsidR="00C71209" w:rsidRDefault="00C71209" w:rsidP="002D546E">
      <w:pPr>
        <w:rPr>
          <w:b/>
        </w:rPr>
      </w:pPr>
    </w:p>
    <w:p w:rsidR="00C71209" w:rsidRDefault="00C71209" w:rsidP="00C71209">
      <w:pPr>
        <w:ind w:left="360"/>
        <w:jc w:val="center"/>
        <w:rPr>
          <w:b/>
        </w:rPr>
      </w:pPr>
      <w:r>
        <w:rPr>
          <w:b/>
        </w:rPr>
        <w:t xml:space="preserve">Výška doplatku poistencom zdravotných poisťovní za stravovanie a pobyt na lôžku počas poskytovania ústavnej starostlivosti v rámci indikačnej skupiny „B“ </w:t>
      </w:r>
    </w:p>
    <w:p w:rsidR="00C71209" w:rsidRDefault="00C71209" w:rsidP="00C71209">
      <w:pPr>
        <w:ind w:left="360"/>
        <w:jc w:val="center"/>
        <w:rPr>
          <w:b/>
        </w:rPr>
      </w:pPr>
      <w:r>
        <w:rPr>
          <w:b/>
        </w:rPr>
        <w:t>v KLÚ MV SR Družba Bardejovské Kúpele na rok 2025 činí:</w:t>
      </w:r>
    </w:p>
    <w:p w:rsidR="00C71209" w:rsidRDefault="00C71209" w:rsidP="00C71209">
      <w:pPr>
        <w:ind w:left="360"/>
        <w:jc w:val="both"/>
        <w:rPr>
          <w:b/>
        </w:rPr>
      </w:pP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b/>
          <w:sz w:val="22"/>
          <w:szCs w:val="22"/>
        </w:rPr>
        <w:t xml:space="preserve">- 36,– € </w:t>
      </w:r>
      <w:r w:rsidRPr="00A93931">
        <w:rPr>
          <w:sz w:val="22"/>
          <w:szCs w:val="22"/>
        </w:rPr>
        <w:t xml:space="preserve">za každý deň ústavnej starostlivosti </w:t>
      </w:r>
      <w:r w:rsidRPr="00A93931">
        <w:rPr>
          <w:b/>
          <w:sz w:val="22"/>
          <w:szCs w:val="22"/>
        </w:rPr>
        <w:t>v I. a IV. štvrťroku</w:t>
      </w:r>
      <w:r w:rsidRPr="00A93931">
        <w:rPr>
          <w:sz w:val="22"/>
          <w:szCs w:val="22"/>
        </w:rPr>
        <w:t xml:space="preserve"> bez ohľadu na dĺžku ústavnej starostlivosti.</w:t>
      </w:r>
    </w:p>
    <w:p w:rsidR="00C71209" w:rsidRDefault="00C71209" w:rsidP="00C71209">
      <w:pPr>
        <w:jc w:val="both"/>
        <w:rPr>
          <w:sz w:val="22"/>
          <w:szCs w:val="22"/>
        </w:rPr>
      </w:pPr>
      <w:r w:rsidRPr="00A93931">
        <w:rPr>
          <w:b/>
          <w:sz w:val="22"/>
          <w:szCs w:val="22"/>
        </w:rPr>
        <w:t xml:space="preserve">- 39,– € </w:t>
      </w:r>
      <w:r w:rsidRPr="00A93931">
        <w:rPr>
          <w:sz w:val="22"/>
          <w:szCs w:val="22"/>
        </w:rPr>
        <w:t xml:space="preserve">za každý deň ústavnej </w:t>
      </w:r>
      <w:r w:rsidRPr="00A93931">
        <w:rPr>
          <w:b/>
          <w:sz w:val="22"/>
          <w:szCs w:val="22"/>
        </w:rPr>
        <w:t xml:space="preserve">v II. a III. štvrťroku </w:t>
      </w:r>
      <w:r w:rsidRPr="00A93931">
        <w:rPr>
          <w:sz w:val="22"/>
          <w:szCs w:val="22"/>
        </w:rPr>
        <w:t>bez ohľadu na dĺžku ústavnej starostlivosti.</w:t>
      </w:r>
    </w:p>
    <w:p w:rsidR="003B2AD1" w:rsidRPr="00A93931" w:rsidRDefault="003B2AD1" w:rsidP="00C71209">
      <w:pPr>
        <w:jc w:val="both"/>
        <w:rPr>
          <w:sz w:val="22"/>
          <w:szCs w:val="22"/>
        </w:rPr>
      </w:pPr>
    </w:p>
    <w:p w:rsidR="007E5CE1" w:rsidRPr="003C6D82" w:rsidRDefault="003B2AD1" w:rsidP="003B2AD1">
      <w:pPr>
        <w:ind w:firstLine="708"/>
        <w:jc w:val="both"/>
        <w:rPr>
          <w:rFonts w:cs="Calibri"/>
          <w:sz w:val="22"/>
          <w:szCs w:val="22"/>
        </w:rPr>
      </w:pPr>
      <w:r w:rsidRPr="003C6D82">
        <w:rPr>
          <w:sz w:val="22"/>
          <w:szCs w:val="22"/>
        </w:rPr>
        <w:t>V</w:t>
      </w:r>
      <w:r w:rsidRPr="003C6D82">
        <w:rPr>
          <w:rFonts w:cs="Calibri"/>
          <w:sz w:val="22"/>
          <w:szCs w:val="22"/>
        </w:rPr>
        <w:t xml:space="preserve"> zmysle Všeobecne záväzného nariadenia mesta Bardejov č. 195/2024 o miestnych daniach je </w:t>
      </w:r>
      <w:r w:rsidRPr="003C6D82">
        <w:rPr>
          <w:b/>
          <w:sz w:val="22"/>
          <w:szCs w:val="22"/>
        </w:rPr>
        <w:t>sadzba dane za ubytovanie 2,50 € za osobu a prenocovanie. Sadzba dane za ubytovanie u osôb v hmotnej núdzi a držiteľov preukazu fyzickej osoby s ťažkým zdravotným postihnutím je 1,50 € za osobu a prenocovanie.</w:t>
      </w:r>
      <w:r w:rsidRPr="003C6D82">
        <w:rPr>
          <w:rFonts w:cs="Calibri"/>
          <w:sz w:val="22"/>
          <w:szCs w:val="22"/>
        </w:rPr>
        <w:t xml:space="preserve"> Pri uplatnení zníženej sadzby</w:t>
      </w:r>
      <w:r w:rsidR="003B42A4" w:rsidRPr="003C6D82">
        <w:rPr>
          <w:rFonts w:cs="Calibri"/>
          <w:sz w:val="22"/>
          <w:szCs w:val="22"/>
        </w:rPr>
        <w:t xml:space="preserve"> dane</w:t>
      </w:r>
      <w:r w:rsidRPr="003C6D82">
        <w:rPr>
          <w:rFonts w:cs="Calibri"/>
          <w:sz w:val="22"/>
          <w:szCs w:val="22"/>
        </w:rPr>
        <w:t xml:space="preserve"> za ubytovanie je povinnosť predložiť doklady preukazujúce oprávnenosť jej použitia.</w:t>
      </w:r>
    </w:p>
    <w:p w:rsidR="003B2AD1" w:rsidRPr="00A93931" w:rsidRDefault="003B2AD1" w:rsidP="007E5CE1">
      <w:pPr>
        <w:jc w:val="both"/>
        <w:rPr>
          <w:sz w:val="22"/>
          <w:szCs w:val="22"/>
        </w:rPr>
      </w:pPr>
    </w:p>
    <w:p w:rsidR="00C71209" w:rsidRPr="002D546E" w:rsidRDefault="00C71209" w:rsidP="00C71209">
      <w:pPr>
        <w:ind w:firstLine="708"/>
        <w:jc w:val="both"/>
        <w:rPr>
          <w:b/>
          <w:sz w:val="22"/>
          <w:szCs w:val="22"/>
        </w:rPr>
      </w:pPr>
      <w:r w:rsidRPr="002D546E">
        <w:rPr>
          <w:b/>
          <w:sz w:val="22"/>
          <w:szCs w:val="22"/>
        </w:rPr>
        <w:t>Ubytovanie 1. kategórie v izbách so sociálnym zariadením (</w:t>
      </w:r>
      <w:r w:rsidR="007E5CE1" w:rsidRPr="002D546E">
        <w:rPr>
          <w:b/>
          <w:sz w:val="22"/>
          <w:szCs w:val="22"/>
        </w:rPr>
        <w:t>sprcha, WC</w:t>
      </w:r>
      <w:r w:rsidRPr="002D546E">
        <w:rPr>
          <w:b/>
          <w:sz w:val="22"/>
          <w:szCs w:val="22"/>
        </w:rPr>
        <w:t>), ktoré sú vybavené chladničkou, TV</w:t>
      </w:r>
      <w:r w:rsidR="0086508D">
        <w:rPr>
          <w:b/>
          <w:sz w:val="22"/>
          <w:szCs w:val="22"/>
        </w:rPr>
        <w:t xml:space="preserve"> a rádiom</w:t>
      </w:r>
      <w:r w:rsidR="001F50F1">
        <w:rPr>
          <w:b/>
          <w:sz w:val="22"/>
          <w:szCs w:val="22"/>
        </w:rPr>
        <w:t>, elektrickou varnou kanvicou</w:t>
      </w:r>
      <w:r w:rsidRPr="002D546E">
        <w:rPr>
          <w:b/>
          <w:sz w:val="22"/>
          <w:szCs w:val="22"/>
        </w:rPr>
        <w:t xml:space="preserve"> a telefónom.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</w:p>
    <w:p w:rsidR="00C71209" w:rsidRPr="00A93931" w:rsidRDefault="00C71209" w:rsidP="00C71209">
      <w:pPr>
        <w:ind w:firstLine="708"/>
        <w:jc w:val="both"/>
        <w:rPr>
          <w:sz w:val="22"/>
          <w:szCs w:val="22"/>
        </w:rPr>
      </w:pPr>
      <w:r w:rsidRPr="00A93931">
        <w:rPr>
          <w:sz w:val="22"/>
          <w:szCs w:val="22"/>
        </w:rPr>
        <w:t>V prípade Vášho záujmu o absolvovanie kúpeľnej starostlivosti v našom zariadení je potrebné zaslať na našu</w:t>
      </w:r>
      <w:r w:rsidR="00BE3063" w:rsidRPr="00A93931">
        <w:rPr>
          <w:sz w:val="22"/>
          <w:szCs w:val="22"/>
        </w:rPr>
        <w:t xml:space="preserve"> adresu</w:t>
      </w:r>
      <w:r w:rsidRPr="00A93931">
        <w:rPr>
          <w:sz w:val="22"/>
          <w:szCs w:val="22"/>
        </w:rPr>
        <w:t xml:space="preserve"> </w:t>
      </w:r>
      <w:r w:rsidR="00BE3063" w:rsidRPr="00A93931">
        <w:rPr>
          <w:sz w:val="22"/>
          <w:szCs w:val="22"/>
        </w:rPr>
        <w:t>schválený</w:t>
      </w:r>
      <w:r w:rsidRPr="00A93931">
        <w:rPr>
          <w:sz w:val="22"/>
          <w:szCs w:val="22"/>
        </w:rPr>
        <w:t xml:space="preserve"> </w:t>
      </w:r>
      <w:r w:rsidR="00EC3FFF">
        <w:rPr>
          <w:sz w:val="22"/>
          <w:szCs w:val="22"/>
        </w:rPr>
        <w:t>návrh na KS</w:t>
      </w:r>
      <w:r w:rsidRPr="00A93931">
        <w:rPr>
          <w:sz w:val="22"/>
          <w:szCs w:val="22"/>
        </w:rPr>
        <w:t xml:space="preserve"> (</w:t>
      </w:r>
      <w:r w:rsidR="00BE3063" w:rsidRPr="00A93931">
        <w:rPr>
          <w:sz w:val="22"/>
          <w:szCs w:val="22"/>
        </w:rPr>
        <w:t>v prípade, ak má návrh viac dielov alebo strán – zaslať všetky!,</w:t>
      </w:r>
      <w:r w:rsidRPr="00A93931">
        <w:rPr>
          <w:sz w:val="22"/>
          <w:szCs w:val="22"/>
        </w:rPr>
        <w:t xml:space="preserve"> v prípade ak </w:t>
      </w:r>
      <w:r w:rsidR="00BE3063" w:rsidRPr="00A93931">
        <w:rPr>
          <w:sz w:val="22"/>
          <w:szCs w:val="22"/>
        </w:rPr>
        <w:t>sú</w:t>
      </w:r>
      <w:r w:rsidRPr="00A93931">
        <w:rPr>
          <w:sz w:val="22"/>
          <w:szCs w:val="22"/>
        </w:rPr>
        <w:t xml:space="preserve"> prílohou k</w:t>
      </w:r>
      <w:r w:rsidR="00BE3063" w:rsidRPr="00A93931">
        <w:rPr>
          <w:sz w:val="22"/>
          <w:szCs w:val="22"/>
        </w:rPr>
        <w:t> </w:t>
      </w:r>
      <w:r w:rsidRPr="00A93931">
        <w:rPr>
          <w:sz w:val="22"/>
          <w:szCs w:val="22"/>
        </w:rPr>
        <w:t>návrhu</w:t>
      </w:r>
      <w:r w:rsidR="00BE3063" w:rsidRPr="00A93931">
        <w:rPr>
          <w:sz w:val="22"/>
          <w:szCs w:val="22"/>
        </w:rPr>
        <w:t xml:space="preserve"> akékoľvek lekárske správy alebo nálezy – zaslať všetky!)</w:t>
      </w:r>
      <w:r w:rsidR="00A93931" w:rsidRPr="00A93931">
        <w:rPr>
          <w:sz w:val="22"/>
          <w:szCs w:val="22"/>
        </w:rPr>
        <w:t>.</w:t>
      </w:r>
      <w:r w:rsidRPr="00A93931">
        <w:rPr>
          <w:sz w:val="22"/>
          <w:szCs w:val="22"/>
        </w:rPr>
        <w:t xml:space="preserve">  </w:t>
      </w:r>
      <w:r w:rsidR="00EC3FFF">
        <w:rPr>
          <w:sz w:val="22"/>
          <w:szCs w:val="22"/>
        </w:rPr>
        <w:t xml:space="preserve">U </w:t>
      </w:r>
      <w:r w:rsidRPr="00A93931">
        <w:rPr>
          <w:sz w:val="22"/>
          <w:szCs w:val="22"/>
        </w:rPr>
        <w:t xml:space="preserve">poistencov </w:t>
      </w:r>
      <w:proofErr w:type="spellStart"/>
      <w:r w:rsidRPr="00A93931">
        <w:rPr>
          <w:sz w:val="22"/>
          <w:szCs w:val="22"/>
        </w:rPr>
        <w:t>VšZP</w:t>
      </w:r>
      <w:proofErr w:type="spellEnd"/>
      <w:r w:rsidR="00BE3063" w:rsidRPr="00A93931">
        <w:rPr>
          <w:sz w:val="22"/>
          <w:szCs w:val="22"/>
        </w:rPr>
        <w:t xml:space="preserve"> je potrebné zaslať aj stanovisko </w:t>
      </w:r>
      <w:proofErr w:type="spellStart"/>
      <w:r w:rsidR="00BE3063" w:rsidRPr="00A93931">
        <w:rPr>
          <w:sz w:val="22"/>
          <w:szCs w:val="22"/>
        </w:rPr>
        <w:t>VšZP</w:t>
      </w:r>
      <w:proofErr w:type="spellEnd"/>
      <w:r w:rsidR="00EC3FFF">
        <w:rPr>
          <w:sz w:val="22"/>
          <w:szCs w:val="22"/>
        </w:rPr>
        <w:t>.</w:t>
      </w:r>
      <w:r w:rsidR="00BE3063" w:rsidRPr="00A93931">
        <w:rPr>
          <w:sz w:val="22"/>
          <w:szCs w:val="22"/>
        </w:rPr>
        <w:t xml:space="preserve"> U poistencov Dôvery stačí nahlásiť rezervačný kód, ktorý Vám oznámila poisťovňa. </w:t>
      </w:r>
      <w:r w:rsidRPr="00A93931">
        <w:rPr>
          <w:sz w:val="22"/>
          <w:szCs w:val="22"/>
        </w:rPr>
        <w:t xml:space="preserve"> </w:t>
      </w:r>
      <w:r w:rsidR="00BE3063" w:rsidRPr="00A93931">
        <w:rPr>
          <w:sz w:val="22"/>
          <w:szCs w:val="22"/>
        </w:rPr>
        <w:t>N</w:t>
      </w:r>
      <w:r w:rsidRPr="00A93931">
        <w:rPr>
          <w:sz w:val="22"/>
          <w:szCs w:val="22"/>
        </w:rPr>
        <w:t xml:space="preserve">a základe </w:t>
      </w:r>
      <w:r w:rsidR="00BE3063" w:rsidRPr="00A93931">
        <w:rPr>
          <w:sz w:val="22"/>
          <w:szCs w:val="22"/>
        </w:rPr>
        <w:t>uvedených podkladov</w:t>
      </w:r>
      <w:r w:rsidRPr="00A93931">
        <w:rPr>
          <w:sz w:val="22"/>
          <w:szCs w:val="22"/>
        </w:rPr>
        <w:t xml:space="preserve"> Vás v</w:t>
      </w:r>
      <w:r w:rsidR="00BE3063" w:rsidRPr="00A93931">
        <w:rPr>
          <w:sz w:val="22"/>
          <w:szCs w:val="22"/>
        </w:rPr>
        <w:t xml:space="preserve"> čo</w:t>
      </w:r>
      <w:r w:rsidRPr="00A93931">
        <w:rPr>
          <w:sz w:val="22"/>
          <w:szCs w:val="22"/>
        </w:rPr>
        <w:t> najbližšom možnom termíne pozveme</w:t>
      </w:r>
      <w:r w:rsidR="00BE3063" w:rsidRPr="00A93931">
        <w:rPr>
          <w:sz w:val="22"/>
          <w:szCs w:val="22"/>
        </w:rPr>
        <w:t xml:space="preserve"> na KS</w:t>
      </w:r>
      <w:r w:rsidRPr="00A93931">
        <w:rPr>
          <w:sz w:val="22"/>
          <w:szCs w:val="22"/>
        </w:rPr>
        <w:t>. Ak máte konkrétnu požiadavku na termín alebo na ubytovanie, napíšte si stručn</w:t>
      </w:r>
      <w:r w:rsidR="00BE3063" w:rsidRPr="00A93931">
        <w:rPr>
          <w:sz w:val="22"/>
          <w:szCs w:val="22"/>
        </w:rPr>
        <w:t>ú žiadosť so svojou požiadavkou.</w:t>
      </w:r>
      <w:r w:rsidRPr="00A93931">
        <w:rPr>
          <w:sz w:val="22"/>
          <w:szCs w:val="22"/>
        </w:rPr>
        <w:t xml:space="preserve"> </w:t>
      </w:r>
      <w:r w:rsidR="00BE3063" w:rsidRPr="00A93931">
        <w:rPr>
          <w:sz w:val="22"/>
          <w:szCs w:val="22"/>
        </w:rPr>
        <w:t>U</w:t>
      </w:r>
      <w:r w:rsidRPr="00A93931">
        <w:rPr>
          <w:sz w:val="22"/>
          <w:szCs w:val="22"/>
        </w:rPr>
        <w:t>veďte</w:t>
      </w:r>
      <w:r w:rsidR="00BE3063" w:rsidRPr="00A93931">
        <w:rPr>
          <w:sz w:val="22"/>
          <w:szCs w:val="22"/>
        </w:rPr>
        <w:t xml:space="preserve"> aj svoj aktuálny</w:t>
      </w:r>
      <w:r w:rsidRPr="00A93931">
        <w:rPr>
          <w:sz w:val="22"/>
          <w:szCs w:val="22"/>
        </w:rPr>
        <w:t xml:space="preserve"> telefonický kontakt</w:t>
      </w:r>
      <w:r w:rsidR="00BE3063" w:rsidRPr="00A93931">
        <w:rPr>
          <w:sz w:val="22"/>
          <w:szCs w:val="22"/>
        </w:rPr>
        <w:t>!</w:t>
      </w:r>
      <w:r w:rsidRPr="00A93931">
        <w:rPr>
          <w:sz w:val="22"/>
          <w:szCs w:val="22"/>
        </w:rPr>
        <w:t xml:space="preserve"> Termín je možné zarezervovať aj vo</w:t>
      </w:r>
      <w:r w:rsidR="00BE3063" w:rsidRPr="00A93931">
        <w:rPr>
          <w:sz w:val="22"/>
          <w:szCs w:val="22"/>
        </w:rPr>
        <w:t>pred (</w:t>
      </w:r>
      <w:r w:rsidR="008B30B3">
        <w:rPr>
          <w:sz w:val="22"/>
          <w:szCs w:val="22"/>
        </w:rPr>
        <w:t>e-</w:t>
      </w:r>
      <w:r w:rsidR="00BE3063" w:rsidRPr="00A93931">
        <w:rPr>
          <w:sz w:val="22"/>
          <w:szCs w:val="22"/>
        </w:rPr>
        <w:t>mailom alebo telefonicky), pričom je nutné dodržať termín platnosti návrhu.</w:t>
      </w:r>
    </w:p>
    <w:p w:rsidR="002D546E" w:rsidRDefault="002D546E" w:rsidP="00C71209">
      <w:pPr>
        <w:jc w:val="both"/>
        <w:rPr>
          <w:b/>
          <w:sz w:val="22"/>
          <w:szCs w:val="22"/>
        </w:rPr>
      </w:pPr>
    </w:p>
    <w:p w:rsidR="00C71209" w:rsidRPr="00A93931" w:rsidRDefault="00C71209" w:rsidP="00C71209">
      <w:pPr>
        <w:jc w:val="both"/>
        <w:rPr>
          <w:b/>
          <w:sz w:val="22"/>
          <w:szCs w:val="22"/>
        </w:rPr>
      </w:pPr>
      <w:r w:rsidRPr="00A93931">
        <w:rPr>
          <w:b/>
          <w:sz w:val="22"/>
          <w:szCs w:val="22"/>
        </w:rPr>
        <w:t xml:space="preserve">Doplňujúce informácie: 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Príplatok za jednoposteľovú izbu je 13,-- €</w:t>
      </w:r>
      <w:r w:rsidR="007E5CE1" w:rsidRPr="00A93931">
        <w:rPr>
          <w:sz w:val="22"/>
          <w:szCs w:val="22"/>
        </w:rPr>
        <w:t xml:space="preserve"> / osobu </w:t>
      </w:r>
      <w:r w:rsidRPr="00A93931">
        <w:rPr>
          <w:sz w:val="22"/>
          <w:szCs w:val="22"/>
        </w:rPr>
        <w:t xml:space="preserve"> / noc.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Príplatok za apartmán činí 20,-- € /</w:t>
      </w:r>
      <w:r w:rsidR="007E5CE1" w:rsidRPr="00A93931">
        <w:rPr>
          <w:sz w:val="22"/>
          <w:szCs w:val="22"/>
        </w:rPr>
        <w:t xml:space="preserve"> osobu / noc (apartmány sú dvojposteľové – </w:t>
      </w:r>
      <w:proofErr w:type="spellStart"/>
      <w:r w:rsidR="007E5CE1" w:rsidRPr="00A93931">
        <w:rPr>
          <w:sz w:val="22"/>
          <w:szCs w:val="22"/>
        </w:rPr>
        <w:t>kúpelňa</w:t>
      </w:r>
      <w:proofErr w:type="spellEnd"/>
      <w:r w:rsidR="005D60B2">
        <w:rPr>
          <w:sz w:val="22"/>
          <w:szCs w:val="22"/>
        </w:rPr>
        <w:t xml:space="preserve"> </w:t>
      </w:r>
      <w:r w:rsidR="008B30B3">
        <w:rPr>
          <w:sz w:val="22"/>
          <w:szCs w:val="22"/>
        </w:rPr>
        <w:t>s </w:t>
      </w:r>
      <w:r w:rsidR="005D60B2">
        <w:rPr>
          <w:sz w:val="22"/>
          <w:szCs w:val="22"/>
        </w:rPr>
        <w:t>vaň</w:t>
      </w:r>
      <w:r w:rsidR="008B30B3">
        <w:rPr>
          <w:sz w:val="22"/>
          <w:szCs w:val="22"/>
        </w:rPr>
        <w:t>ou a</w:t>
      </w:r>
      <w:r w:rsidR="007E5CE1" w:rsidRPr="00A93931">
        <w:rPr>
          <w:sz w:val="22"/>
          <w:szCs w:val="22"/>
        </w:rPr>
        <w:t xml:space="preserve"> WC).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Strava, ubytovanie aj procedúry sú v budove.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Stravovanie:</w:t>
      </w:r>
      <w:r w:rsidRPr="00A93931">
        <w:rPr>
          <w:color w:val="000000" w:themeColor="text1"/>
          <w:sz w:val="22"/>
          <w:szCs w:val="22"/>
        </w:rPr>
        <w:t xml:space="preserve"> </w:t>
      </w:r>
      <w:r w:rsidRPr="00A93931">
        <w:rPr>
          <w:rFonts w:eastAsiaTheme="minorEastAsia"/>
          <w:noProof/>
          <w:color w:val="000000" w:themeColor="text1"/>
          <w:sz w:val="22"/>
          <w:szCs w:val="22"/>
        </w:rPr>
        <w:t>výber zo 4 druhov jedál – v prípade individuálnej diéty bez možnosti výberu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Parkovanie motorového vozidla</w:t>
      </w:r>
      <w:r w:rsidR="00EC3FFF">
        <w:rPr>
          <w:sz w:val="22"/>
          <w:szCs w:val="22"/>
        </w:rPr>
        <w:t xml:space="preserve"> je</w:t>
      </w:r>
      <w:r w:rsidRPr="00A93931">
        <w:rPr>
          <w:sz w:val="22"/>
          <w:szCs w:val="22"/>
        </w:rPr>
        <w:t xml:space="preserve"> v areáli zariadenia bez príplatku.</w:t>
      </w:r>
    </w:p>
    <w:p w:rsidR="00A70842" w:rsidRDefault="00A70842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Práčka a sušička bielizne k dispozícii za poplatok.</w:t>
      </w:r>
    </w:p>
    <w:p w:rsidR="00223C55" w:rsidRPr="00A93931" w:rsidRDefault="00223C55" w:rsidP="00C71209">
      <w:pPr>
        <w:jc w:val="both"/>
        <w:rPr>
          <w:sz w:val="22"/>
          <w:szCs w:val="22"/>
        </w:rPr>
      </w:pPr>
      <w:r>
        <w:rPr>
          <w:sz w:val="22"/>
          <w:szCs w:val="22"/>
        </w:rPr>
        <w:t>Fén a žehličku je možné zapožičať na recepcii bez poplatku.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WIFI pripojenie</w:t>
      </w:r>
      <w:r w:rsidR="00EC3FFF">
        <w:rPr>
          <w:sz w:val="22"/>
          <w:szCs w:val="22"/>
        </w:rPr>
        <w:t xml:space="preserve"> je</w:t>
      </w:r>
      <w:r w:rsidRPr="00A93931">
        <w:rPr>
          <w:sz w:val="22"/>
          <w:szCs w:val="22"/>
        </w:rPr>
        <w:t xml:space="preserve"> v</w:t>
      </w:r>
      <w:r w:rsidR="00A70842" w:rsidRPr="00A93931">
        <w:rPr>
          <w:sz w:val="22"/>
          <w:szCs w:val="22"/>
        </w:rPr>
        <w:t> celej budove</w:t>
      </w:r>
      <w:r w:rsidRPr="00A93931">
        <w:rPr>
          <w:sz w:val="22"/>
          <w:szCs w:val="22"/>
        </w:rPr>
        <w:t>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Možnosť dokúpenia doplnkových procedúr na mieste (v prípade voľných časeniek).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Platba kartou alebo  hotovosti na recepcii.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Pobyt so zvieraťom nie je možný.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 xml:space="preserve">Poplatok za prístelku (v jednoposteľovej izbe) je </w:t>
      </w:r>
      <w:r w:rsidR="007E5CE1" w:rsidRPr="00A93931">
        <w:rPr>
          <w:sz w:val="22"/>
          <w:szCs w:val="22"/>
        </w:rPr>
        <w:t>30</w:t>
      </w:r>
      <w:r w:rsidRPr="00A93931">
        <w:rPr>
          <w:sz w:val="22"/>
          <w:szCs w:val="22"/>
        </w:rPr>
        <w:t>,- €</w:t>
      </w:r>
      <w:r w:rsidR="007E5CE1" w:rsidRPr="00A93931">
        <w:rPr>
          <w:sz w:val="22"/>
          <w:szCs w:val="22"/>
        </w:rPr>
        <w:t xml:space="preserve"> / osobu</w:t>
      </w:r>
      <w:r w:rsidRPr="00A93931">
        <w:rPr>
          <w:sz w:val="22"/>
          <w:szCs w:val="22"/>
        </w:rPr>
        <w:t xml:space="preserve"> / noc.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>Telefón: 054/472 37 11-2 - prijímacia kancelária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 xml:space="preserve">Mail: </w:t>
      </w:r>
      <w:hyperlink r:id="rId6" w:history="1">
        <w:r w:rsidRPr="00A93931">
          <w:rPr>
            <w:rStyle w:val="Hypertextovprepojenie"/>
            <w:sz w:val="22"/>
            <w:szCs w:val="22"/>
          </w:rPr>
          <w:t>prijimaciakancelaria@klu-druzba.sk</w:t>
        </w:r>
      </w:hyperlink>
      <w:r w:rsidRPr="00A93931">
        <w:rPr>
          <w:sz w:val="22"/>
          <w:szCs w:val="22"/>
        </w:rPr>
        <w:t xml:space="preserve">, </w:t>
      </w:r>
      <w:hyperlink r:id="rId7" w:history="1">
        <w:r w:rsidRPr="00A93931">
          <w:rPr>
            <w:rStyle w:val="Hypertextovprepojenie"/>
            <w:sz w:val="22"/>
            <w:szCs w:val="22"/>
          </w:rPr>
          <w:t>druzba@proxisnet.sk</w:t>
        </w:r>
      </w:hyperlink>
      <w:r w:rsidRPr="00A93931">
        <w:rPr>
          <w:sz w:val="22"/>
          <w:szCs w:val="22"/>
        </w:rPr>
        <w:t xml:space="preserve"> </w:t>
      </w:r>
    </w:p>
    <w:p w:rsidR="00C71209" w:rsidRPr="00A93931" w:rsidRDefault="00C71209" w:rsidP="00C71209">
      <w:pPr>
        <w:jc w:val="both"/>
        <w:rPr>
          <w:sz w:val="22"/>
          <w:szCs w:val="22"/>
        </w:rPr>
      </w:pPr>
      <w:r w:rsidRPr="00A93931">
        <w:rPr>
          <w:sz w:val="22"/>
          <w:szCs w:val="22"/>
        </w:rPr>
        <w:t xml:space="preserve">Internet: </w:t>
      </w:r>
      <w:hyperlink r:id="rId8" w:history="1">
        <w:r w:rsidRPr="00A93931">
          <w:rPr>
            <w:rStyle w:val="Hypertextovprepojenie"/>
            <w:sz w:val="22"/>
            <w:szCs w:val="22"/>
          </w:rPr>
          <w:t>www.klu-druzba.sk</w:t>
        </w:r>
      </w:hyperlink>
      <w:r w:rsidRPr="00A93931">
        <w:rPr>
          <w:sz w:val="22"/>
          <w:szCs w:val="22"/>
        </w:rPr>
        <w:t xml:space="preserve"> </w:t>
      </w:r>
    </w:p>
    <w:sectPr w:rsidR="00C71209" w:rsidRPr="00A93931" w:rsidSect="00DA5CA2">
      <w:pgSz w:w="11906" w:h="16838"/>
      <w:pgMar w:top="567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35F3"/>
    <w:multiLevelType w:val="hybridMultilevel"/>
    <w:tmpl w:val="A1909D30"/>
    <w:lvl w:ilvl="0" w:tplc="CA281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44DB8"/>
    <w:multiLevelType w:val="hybridMultilevel"/>
    <w:tmpl w:val="5B80DB64"/>
    <w:lvl w:ilvl="0" w:tplc="BAB8B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209"/>
    <w:rsid w:val="001129B2"/>
    <w:rsid w:val="001F50F1"/>
    <w:rsid w:val="00223C55"/>
    <w:rsid w:val="00250B9F"/>
    <w:rsid w:val="00264243"/>
    <w:rsid w:val="002C4AB9"/>
    <w:rsid w:val="002D2A9B"/>
    <w:rsid w:val="002D2B08"/>
    <w:rsid w:val="002D546E"/>
    <w:rsid w:val="003B2AD1"/>
    <w:rsid w:val="003B42A4"/>
    <w:rsid w:val="003C6D82"/>
    <w:rsid w:val="00432356"/>
    <w:rsid w:val="004F5F8B"/>
    <w:rsid w:val="005017B6"/>
    <w:rsid w:val="00575F4F"/>
    <w:rsid w:val="005B0187"/>
    <w:rsid w:val="005D60B2"/>
    <w:rsid w:val="006D7E32"/>
    <w:rsid w:val="006F6EA5"/>
    <w:rsid w:val="007E5CE1"/>
    <w:rsid w:val="0086508D"/>
    <w:rsid w:val="008A7F50"/>
    <w:rsid w:val="008B30B3"/>
    <w:rsid w:val="00A51111"/>
    <w:rsid w:val="00A70842"/>
    <w:rsid w:val="00A77680"/>
    <w:rsid w:val="00A93931"/>
    <w:rsid w:val="00BE3063"/>
    <w:rsid w:val="00C71209"/>
    <w:rsid w:val="00D61F82"/>
    <w:rsid w:val="00DA5CA2"/>
    <w:rsid w:val="00E43CCE"/>
    <w:rsid w:val="00EC3FFF"/>
    <w:rsid w:val="00F41BB9"/>
    <w:rsid w:val="00F46E90"/>
    <w:rsid w:val="00F9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7120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1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20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71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-druzb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zba@proxisn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imaciakancelaria@klu-druzba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36</cp:revision>
  <cp:lastPrinted>2025-01-09T07:21:00Z</cp:lastPrinted>
  <dcterms:created xsi:type="dcterms:W3CDTF">2024-10-29T09:27:00Z</dcterms:created>
  <dcterms:modified xsi:type="dcterms:W3CDTF">2025-01-09T07:22:00Z</dcterms:modified>
</cp:coreProperties>
</file>